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shd w:val="clea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附件1</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《宁夏回族自治区</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制造业创新</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中心</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申请报告》编写提纲</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对报送材料的真实性、完整性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、合法性</w:t>
      </w:r>
      <w:r>
        <w:rPr>
          <w:rFonts w:hint="eastAsia" w:ascii="方正仿宋_GBK" w:hAnsi="方正仿宋_GBK" w:eastAsia="方正仿宋_GBK" w:cs="方正仿宋_GBK"/>
          <w:color w:val="000000" w:themeColor="text1"/>
          <w:sz w:val="32"/>
          <w:szCs w:val="32"/>
          <w14:textFill>
            <w14:solidFill>
              <w14:schemeClr w14:val="tx1"/>
            </w14:solidFill>
          </w14:textFill>
        </w:rPr>
        <w:t>承诺</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地位和作用</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基本情况。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经济类型</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股权结构、成员单位情况、专职人员数和学历、职称情况，</w:t>
      </w:r>
      <w:r>
        <w:rPr>
          <w:rFonts w:hint="eastAsia" w:ascii="方正仿宋_GBK" w:hAnsi="方正仿宋_GBK" w:eastAsia="方正仿宋_GBK" w:cs="方正仿宋_GBK"/>
          <w:color w:val="000000" w:themeColor="text1"/>
          <w:sz w:val="32"/>
          <w:szCs w:val="32"/>
          <w14:textFill>
            <w14:solidFill>
              <w14:schemeClr w14:val="tx1"/>
            </w14:solidFill>
          </w14:textFill>
        </w:rPr>
        <w:t>总资产、资产负债率、主营业务收入、销售收入、银行信用等级、利润等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情况说明</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在行业中的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影响力</w:t>
      </w:r>
      <w:r>
        <w:rPr>
          <w:rFonts w:hint="eastAsia" w:ascii="方正仿宋_GBK" w:hAnsi="方正仿宋_GBK" w:eastAsia="方正仿宋_GBK" w:cs="方正仿宋_GBK"/>
          <w:color w:val="000000" w:themeColor="text1"/>
          <w:sz w:val="32"/>
          <w:szCs w:val="32"/>
          <w14:textFill>
            <w14:solidFill>
              <w14:schemeClr w14:val="tx1"/>
            </w14:solidFill>
          </w14:textFill>
        </w:rPr>
        <w:t>和竞争力。行业综合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排名前列的股东情况</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拥有的自治区级及以上创新平台情况，聚集高效、科研院所、上下游企业等各类创新主体情况，现有仪器、设备等资源，与成员单位实现资源开发共享情况。具体分析试点单位的业界影响力和竞争优势。</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试点单位通过技术研发发挥</w:t>
      </w:r>
      <w:r>
        <w:rPr>
          <w:rFonts w:hint="eastAsia" w:ascii="方正仿宋_GBK" w:hAnsi="方正仿宋_GBK" w:eastAsia="方正仿宋_GBK" w:cs="方正仿宋_GBK"/>
          <w:color w:val="000000" w:themeColor="text1"/>
          <w:sz w:val="32"/>
          <w:szCs w:val="32"/>
          <w14:textFill>
            <w14:solidFill>
              <w14:schemeClr w14:val="tx1"/>
            </w14:solidFill>
          </w14:textFill>
        </w:rPr>
        <w:t>的引领作用。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定明确的技术路线图并组织实施，突破制约产业发展的关键共性技术瓶颈。按照市场化运营，通过技术成果转化、企业孵化、委托研发、检测检验和为行业提供公共服务等方式获得稳定收入和促进行业技术进步、结构调整、综合利用、节能减排等方面的示范和带动作用。</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制造业创新中心现状和成绩</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基本情况。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根据试点单位前期提供的《制造业创新中心建设方案》，陈述制造业创新中心的建设发展和</w:t>
      </w:r>
      <w:r>
        <w:rPr>
          <w:rFonts w:hint="eastAsia" w:ascii="方正仿宋_GBK" w:hAnsi="方正仿宋_GBK" w:eastAsia="方正仿宋_GBK" w:cs="方正仿宋_GBK"/>
          <w:color w:val="000000" w:themeColor="text1"/>
          <w:sz w:val="32"/>
          <w:szCs w:val="32"/>
          <w14:textFill>
            <w14:solidFill>
              <w14:schemeClr w14:val="tx1"/>
            </w14:solidFill>
          </w14:textFill>
        </w:rPr>
        <w:t>组织架构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情况</w:t>
      </w:r>
      <w:r>
        <w:rPr>
          <w:rFonts w:hint="eastAsia" w:ascii="方正仿宋_GBK" w:hAnsi="方正仿宋_GBK" w:eastAsia="方正仿宋_GBK" w:cs="方正仿宋_GBK"/>
          <w:color w:val="000000" w:themeColor="text1"/>
          <w:sz w:val="32"/>
          <w:szCs w:val="32"/>
          <w14:textFill>
            <w14:solidFill>
              <w14:schemeClr w14:val="tx1"/>
            </w14:solidFill>
          </w14:textFill>
        </w:rPr>
        <w:t>（附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创新</w:t>
      </w:r>
      <w:r>
        <w:rPr>
          <w:rFonts w:hint="eastAsia" w:ascii="方正仿宋_GBK" w:hAnsi="方正仿宋_GBK" w:eastAsia="方正仿宋_GBK" w:cs="方正仿宋_GBK"/>
          <w:color w:val="000000" w:themeColor="text1"/>
          <w:sz w:val="32"/>
          <w:szCs w:val="32"/>
          <w14:textFill>
            <w14:solidFill>
              <w14:schemeClr w14:val="tx1"/>
            </w14:solidFill>
          </w14:textFill>
        </w:rPr>
        <w:t>中心组织架构图）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建设目标完成情况，可持续发展体制机制建设情况，包括成果转移扩散机制、知识产权协同管理机制、产学研合作机制、利益分配机制、人才队伍建设机制、研发经费管理机制、内外部合作机制等</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创新资源</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核心定位</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协同化</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市场化</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产业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化和可持续发展能力的</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建设</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xml:space="preserve"> 创新资源重点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创新中心研发队伍建设和研发资金投入情况。主要包括：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创新中心拥有固定研发队伍和本领域行业技术领军人才情况，以及从事研发和相关技术创新活动的科技人员占企业职工总数的比例；</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创新中心研发资金的投入情况，以及年度研发费用占成本费用支出总额的比例。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核心定位重点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创新中心面向行业关键共性技术取得突破的情况。主要包括：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创新中心按照建设方案中明确的技术目标取得关键共性技术突破情况，以及新增专利申请数量；</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创新中心围绕行业关键共性技术需求，自主或合作开展技术创新活动、承担所在领域的</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自治区</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级及以上国家科研项目的情况。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协同化重点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创新中心汇聚本领域创新资源的情况，主要包括：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创新中心聚集本领域各类创新主体的情况，包括用户在内的企业、科研院所和高校等；</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创新中心聚集本领域内</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自治区</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级及以上创新平台的情况；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三是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创新中心对成员单位现有的仪器、设备等资源共享利用的情况。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市场化重点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创新中心核心成员产品市场占有情况，主要包括：</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创新中心依托公司的股东包括</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3家以上达到</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自治区</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内本领域排名</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前列</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的企业，占有一定的市场份额；</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创新中心依托公司的股东中</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是否</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包含金融机构或社</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会资本。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产业化重点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创新中心成果转移</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扩散</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的辐射带动</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能力</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创新中心围绕行业共性技术建设中试线或</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具备</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中试条件的情况；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创新中心实现共性技术转移扩散的情况；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三是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创新中心主持或参与制定本领域国际标准、国家标准、行业标准、地方标准和团体标准的情况。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6.</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xml:space="preserve"> 可持续发展重点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创新中心可持续发展能力，主要包括：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创新中心通过技术成果转化、委托研发和为行业提供技术服务等方式获得收入的情况，实现盈利以及盈利再投入研发的情况;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创新中心建立市场化运营、成果转移扩散、知识产权协同运用等机制的情况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制造业创新中心发展规划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制造业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创新中心在</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未来三年的建设发展规划，包括</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研发方向、人才梯队培养、行业服务、能力建设、国际国内合作等方面</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的具体措施</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和明确的目标。</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制造业创新中心自评得分</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制造业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试点单位依据《</w:t>
      </w:r>
      <w:r>
        <w:rPr>
          <w:rFonts w:hint="eastAsia" w:ascii="方正仿宋_GBK" w:hAnsi="方正仿宋_GBK" w:eastAsia="方正仿宋_GBK" w:cs="方正仿宋_GBK"/>
          <w:color w:val="000000" w:themeColor="text1"/>
          <w:sz w:val="32"/>
          <w:szCs w:val="32"/>
          <w14:textFill>
            <w14:solidFill>
              <w14:schemeClr w14:val="tx1"/>
            </w14:solidFill>
          </w14:textFill>
        </w:rPr>
        <w:t>宁夏回族自治区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评价指标体系</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》中的指标和分值，根据实际情况，开展自评赋分（以表格形式报送）。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MzU5MDZhYTQ2ZTYyNDUwNjkxNWIzMjRjNjdkN2MifQ=="/>
  </w:docVars>
  <w:rsids>
    <w:rsidRoot w:val="3FC6100A"/>
    <w:rsid w:val="103F5AD3"/>
    <w:rsid w:val="3FC6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Normal (Web)"/>
    <w:basedOn w:val="1"/>
    <w:qFormat/>
    <w:uiPriority w:val="0"/>
    <w:pPr>
      <w:widowControl/>
      <w:spacing w:before="100" w:beforeAutospacing="1" w:after="100" w:afterAutospacing="1"/>
      <w:ind w:firstLine="480"/>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2023-05-30T02:41:00Z</dcterms:created>
  <dc:creator>绿叶~爱生活17695161862</dc:creator>
  <cp:lastModifiedBy>绿叶~爱生活17695161862</cp:lastModifiedBy>
  <dcterms:modified xsi:type="dcterms:W3CDTF">2023-05-30T02:42:26Z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56C76401A6E341ECBB3E629AB365396C_11</vt:lpwstr>
  </property>
</Properties>
</file>